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современные информационно-коммуникационные технологии в профессиональной деятельности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«Правоведение»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обеспечение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социальной работы</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защита инвалидов</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Организация социальной реабилитации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Технологии медико-социальной работы с населением</w:t>
            </w:r>
          </w:p>
          <w:p>
            <w:pPr>
              <w:jc w:val="center"/>
              <w:spacing w:after="0" w:line="240" w:lineRule="auto"/>
              <w:rPr>
                <w:sz w:val="22"/>
                <w:szCs w:val="22"/>
              </w:rPr>
            </w:pPr>
            <w:r>
              <w:rPr>
                <w:rFonts w:ascii="Times New Roman" w:hAnsi="Times New Roman" w:cs="Times New Roman"/>
                <w:color w:val="#000000"/>
                <w:sz w:val="22"/>
                <w:szCs w:val="22"/>
              </w:rPr>
              <w:t> Технологии работы с клиентами, страдающими зависимостью и созависимостью</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социального обслуживания лиц с ОВЗ</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 с наркозависимыми группами населения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7.0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50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гарантии. Экономические, социальные, политические права.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pPr>
              <w:jc w:val="both"/>
              <w:spacing w:after="0" w:line="240" w:lineRule="auto"/>
              <w:rPr>
                <w:sz w:val="24"/>
                <w:szCs w:val="24"/>
              </w:rPr>
            </w:pPr>
            <w:r>
              <w:rPr>
                <w:rFonts w:ascii="Times New Roman" w:hAnsi="Times New Roman" w:cs="Times New Roman"/>
                <w:color w:val="#000000"/>
                <w:sz w:val="24"/>
                <w:szCs w:val="24"/>
              </w:rPr>
              <w:t> 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pPr>
              <w:jc w:val="both"/>
              <w:spacing w:after="0" w:line="240" w:lineRule="auto"/>
              <w:rPr>
                <w:sz w:val="24"/>
                <w:szCs w:val="24"/>
              </w:rPr>
            </w:pPr>
            <w:r>
              <w:rPr>
                <w:rFonts w:ascii="Times New Roman" w:hAnsi="Times New Roman" w:cs="Times New Roman"/>
                <w:color w:val="#000000"/>
                <w:sz w:val="24"/>
                <w:szCs w:val="24"/>
              </w:rPr>
              <w:t> 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3801.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Кейс-задача1.Гладышев,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 Кейс-задача 2.Ученик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 Кейс-задача 3.Киясов, проживающий в г. Ханты-Мансийске, в 2007 г. окончил среднюю школу. 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Правомерны ли такие действия?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вузов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Тимонина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Химич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Эфендиев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https://urait.ru/bcode/420374</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51.4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6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72.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2023-2024_ФГОС3++2023_Бак-ЗФО-СР(23)_plx_Правоведение</dc:title>
  <dc:creator>FastReport.NET</dc:creator>
</cp:coreProperties>
</file>